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1E" w:rsidRPr="00367A90" w:rsidRDefault="0065001E" w:rsidP="0065001E">
      <w:pPr>
        <w:jc w:val="center"/>
        <w:rPr>
          <w:b/>
          <w:bCs/>
          <w:sz w:val="40"/>
          <w:szCs w:val="40"/>
        </w:rPr>
      </w:pPr>
      <w:r w:rsidRPr="00367A90">
        <w:rPr>
          <w:b/>
          <w:bCs/>
          <w:sz w:val="40"/>
          <w:szCs w:val="40"/>
        </w:rPr>
        <w:t>I</w:t>
      </w:r>
      <w:r w:rsidRPr="00367A90">
        <w:rPr>
          <w:rFonts w:hint="eastAsia"/>
          <w:b/>
          <w:bCs/>
          <w:sz w:val="40"/>
          <w:szCs w:val="40"/>
        </w:rPr>
        <w:t xml:space="preserve">nstructions </w:t>
      </w:r>
      <w:r w:rsidRPr="00367A90">
        <w:rPr>
          <w:b/>
          <w:bCs/>
          <w:sz w:val="40"/>
          <w:szCs w:val="40"/>
        </w:rPr>
        <w:t>for</w:t>
      </w:r>
      <w:r w:rsidRPr="00367A90">
        <w:rPr>
          <w:rFonts w:hint="eastAsia"/>
          <w:b/>
          <w:bCs/>
          <w:sz w:val="40"/>
          <w:szCs w:val="40"/>
        </w:rPr>
        <w:t xml:space="preserve"> Preparing Papers </w:t>
      </w:r>
      <w:r w:rsidRPr="00367A90">
        <w:rPr>
          <w:b/>
          <w:bCs/>
          <w:sz w:val="40"/>
          <w:szCs w:val="40"/>
        </w:rPr>
        <w:t xml:space="preserve">for </w:t>
      </w:r>
      <w:r w:rsidR="00CE6E4E" w:rsidRPr="00367A90">
        <w:rPr>
          <w:b/>
          <w:bCs/>
          <w:sz w:val="40"/>
          <w:szCs w:val="40"/>
        </w:rPr>
        <w:t>2018 IISE Asian Conference</w:t>
      </w:r>
    </w:p>
    <w:p w:rsidR="0065001E" w:rsidRPr="000C6529" w:rsidRDefault="0065001E" w:rsidP="0065001E">
      <w:pPr>
        <w:spacing w:line="240" w:lineRule="exact"/>
        <w:jc w:val="center"/>
        <w:rPr>
          <w:b/>
          <w:bCs/>
          <w:lang w:eastAsia="zh-TW"/>
        </w:rPr>
      </w:pPr>
    </w:p>
    <w:p w:rsidR="0065001E" w:rsidRPr="000C6529" w:rsidRDefault="00CE6E4E" w:rsidP="0065001E">
      <w:pPr>
        <w:spacing w:line="240" w:lineRule="exact"/>
        <w:jc w:val="center"/>
        <w:rPr>
          <w:lang w:val="sv-SE"/>
        </w:rPr>
      </w:pPr>
      <w:r>
        <w:rPr>
          <w:b/>
          <w:bCs/>
          <w:szCs w:val="20"/>
          <w:lang w:val="fr-FR"/>
        </w:rPr>
        <w:t>Chin-Yin Huang</w:t>
      </w:r>
    </w:p>
    <w:p w:rsidR="0065001E" w:rsidRPr="003379CD" w:rsidRDefault="00CE6E4E" w:rsidP="0065001E">
      <w:pPr>
        <w:spacing w:line="240" w:lineRule="exact"/>
        <w:jc w:val="center"/>
        <w:rPr>
          <w:szCs w:val="20"/>
        </w:rPr>
      </w:pPr>
      <w:r>
        <w:rPr>
          <w:szCs w:val="20"/>
        </w:rPr>
        <w:t xml:space="preserve">Department of </w:t>
      </w:r>
      <w:r w:rsidR="0065001E">
        <w:rPr>
          <w:szCs w:val="20"/>
        </w:rPr>
        <w:t>Indu</w:t>
      </w:r>
      <w:r>
        <w:rPr>
          <w:szCs w:val="20"/>
        </w:rPr>
        <w:t>strial Engineering and Enterprise Information</w:t>
      </w:r>
    </w:p>
    <w:p w:rsidR="0065001E" w:rsidRPr="003379CD" w:rsidRDefault="00CE6E4E" w:rsidP="0065001E">
      <w:pPr>
        <w:spacing w:line="240" w:lineRule="exact"/>
        <w:jc w:val="center"/>
        <w:rPr>
          <w:szCs w:val="20"/>
        </w:rPr>
      </w:pPr>
      <w:proofErr w:type="spellStart"/>
      <w:r>
        <w:rPr>
          <w:szCs w:val="20"/>
        </w:rPr>
        <w:t>Tunghai</w:t>
      </w:r>
      <w:proofErr w:type="spellEnd"/>
      <w:r>
        <w:rPr>
          <w:szCs w:val="20"/>
        </w:rPr>
        <w:t xml:space="preserve"> University, Taichung, Taiwan</w:t>
      </w:r>
    </w:p>
    <w:p w:rsidR="0065001E" w:rsidRPr="00133A1B" w:rsidRDefault="0065001E" w:rsidP="0065001E">
      <w:pPr>
        <w:spacing w:line="240" w:lineRule="exact"/>
        <w:jc w:val="center"/>
        <w:rPr>
          <w:rFonts w:eastAsia="MS Mincho"/>
          <w:szCs w:val="20"/>
          <w:lang w:eastAsia="ja-JP"/>
        </w:rPr>
      </w:pPr>
      <w:r>
        <w:rPr>
          <w:szCs w:val="20"/>
        </w:rPr>
        <w:t>T</w:t>
      </w:r>
      <w:r>
        <w:rPr>
          <w:rFonts w:hint="eastAsia"/>
          <w:szCs w:val="20"/>
        </w:rPr>
        <w:t>el</w:t>
      </w:r>
      <w:r>
        <w:rPr>
          <w:szCs w:val="20"/>
        </w:rPr>
        <w:t>: (+</w:t>
      </w:r>
      <w:r w:rsidR="00CE6E4E">
        <w:rPr>
          <w:szCs w:val="20"/>
        </w:rPr>
        <w:t>886) 423594319</w:t>
      </w:r>
      <w:r>
        <w:rPr>
          <w:rFonts w:hint="eastAsia"/>
          <w:szCs w:val="20"/>
        </w:rPr>
        <w:t xml:space="preserve">, </w:t>
      </w:r>
      <w:r w:rsidRPr="003379CD">
        <w:rPr>
          <w:szCs w:val="20"/>
        </w:rPr>
        <w:t>Email</w:t>
      </w:r>
      <w:r>
        <w:rPr>
          <w:szCs w:val="20"/>
        </w:rPr>
        <w:t>:</w:t>
      </w:r>
      <w:r w:rsidRPr="00FA0873">
        <w:rPr>
          <w:szCs w:val="20"/>
        </w:rPr>
        <w:t xml:space="preserve"> </w:t>
      </w:r>
      <w:r w:rsidR="00CE6E4E">
        <w:rPr>
          <w:rStyle w:val="aa"/>
          <w:szCs w:val="20"/>
          <w:lang w:val="fr-FR"/>
        </w:rPr>
        <w:t>huangcy@thu.edu.tw</w:t>
      </w:r>
    </w:p>
    <w:p w:rsidR="0065001E" w:rsidRPr="00FA0873" w:rsidRDefault="0065001E" w:rsidP="0065001E">
      <w:pPr>
        <w:spacing w:line="240" w:lineRule="exact"/>
        <w:jc w:val="center"/>
        <w:rPr>
          <w:szCs w:val="20"/>
        </w:rPr>
      </w:pPr>
    </w:p>
    <w:p w:rsidR="0065001E" w:rsidRPr="001704BB" w:rsidRDefault="0065001E" w:rsidP="0065001E">
      <w:pPr>
        <w:spacing w:line="240" w:lineRule="exact"/>
        <w:jc w:val="center"/>
        <w:rPr>
          <w:b/>
          <w:bCs/>
          <w:szCs w:val="20"/>
          <w:lang w:val="sv-SE"/>
        </w:rPr>
      </w:pPr>
      <w:r w:rsidRPr="001704BB">
        <w:rPr>
          <w:lang w:val="sv-SE"/>
        </w:rPr>
        <w:t xml:space="preserve"> </w:t>
      </w:r>
      <w:r w:rsidR="00D009F3" w:rsidRPr="005B1AA9">
        <w:rPr>
          <w:b/>
          <w:lang w:val="sv-SE"/>
        </w:rPr>
        <w:t xml:space="preserve">Fugee </w:t>
      </w:r>
      <w:r w:rsidR="005B1AA9" w:rsidRPr="005B1AA9">
        <w:rPr>
          <w:b/>
          <w:lang w:val="sv-SE"/>
        </w:rPr>
        <w:t>Tsung</w:t>
      </w:r>
      <w:r w:rsidRPr="001704BB">
        <w:rPr>
          <w:lang w:val="sv-SE"/>
        </w:rPr>
        <w:t>†</w:t>
      </w:r>
    </w:p>
    <w:p w:rsidR="0065001E" w:rsidRDefault="005B1AA9" w:rsidP="005B1AA9">
      <w:pPr>
        <w:spacing w:line="240" w:lineRule="exact"/>
        <w:jc w:val="center"/>
        <w:rPr>
          <w:szCs w:val="20"/>
        </w:rPr>
      </w:pPr>
      <w:r>
        <w:rPr>
          <w:szCs w:val="20"/>
        </w:rPr>
        <w:t xml:space="preserve">Department of </w:t>
      </w:r>
      <w:r w:rsidRPr="005B1AA9">
        <w:rPr>
          <w:szCs w:val="20"/>
        </w:rPr>
        <w:t>Industrial Engineering and Decision Analytics</w:t>
      </w:r>
    </w:p>
    <w:p w:rsidR="005B1AA9" w:rsidRPr="005B1AA9" w:rsidRDefault="005B1AA9" w:rsidP="005B1AA9">
      <w:pPr>
        <w:spacing w:line="240" w:lineRule="exact"/>
        <w:jc w:val="center"/>
        <w:rPr>
          <w:szCs w:val="20"/>
        </w:rPr>
      </w:pPr>
      <w:r w:rsidRPr="005B1AA9">
        <w:rPr>
          <w:szCs w:val="20"/>
        </w:rPr>
        <w:t>Hong Kong University of Science and Technology</w:t>
      </w:r>
    </w:p>
    <w:p w:rsidR="005B1AA9" w:rsidRPr="005B1AA9" w:rsidRDefault="005B1AA9" w:rsidP="005B1AA9">
      <w:pPr>
        <w:spacing w:line="240" w:lineRule="exact"/>
        <w:jc w:val="center"/>
        <w:rPr>
          <w:szCs w:val="20"/>
        </w:rPr>
      </w:pPr>
      <w:r w:rsidRPr="005B1AA9">
        <w:rPr>
          <w:szCs w:val="20"/>
        </w:rPr>
        <w:t>Clear Water Bay, Kowloon, Hong Kong</w:t>
      </w:r>
    </w:p>
    <w:p w:rsidR="0065001E" w:rsidRDefault="0065001E" w:rsidP="0065001E">
      <w:pPr>
        <w:spacing w:line="240" w:lineRule="exact"/>
        <w:jc w:val="center"/>
        <w:rPr>
          <w:szCs w:val="20"/>
          <w:lang w:val="fr-FR"/>
        </w:rPr>
      </w:pPr>
      <w:r>
        <w:rPr>
          <w:szCs w:val="20"/>
        </w:rPr>
        <w:t xml:space="preserve">Tel: </w:t>
      </w:r>
      <w:r>
        <w:rPr>
          <w:szCs w:val="20"/>
          <w:lang w:val="fr-FR"/>
        </w:rPr>
        <w:t>(</w:t>
      </w:r>
      <w:r w:rsidR="005B1AA9" w:rsidRPr="005B1AA9">
        <w:rPr>
          <w:szCs w:val="20"/>
          <w:lang w:val="fr-FR"/>
        </w:rPr>
        <w:t>+852</w:t>
      </w:r>
      <w:r>
        <w:rPr>
          <w:szCs w:val="20"/>
          <w:lang w:val="fr-FR"/>
        </w:rPr>
        <w:t>)</w:t>
      </w:r>
      <w:r w:rsidR="005B1AA9">
        <w:rPr>
          <w:szCs w:val="20"/>
          <w:lang w:val="fr-FR"/>
        </w:rPr>
        <w:t xml:space="preserve"> </w:t>
      </w:r>
      <w:r w:rsidR="005B1AA9" w:rsidRPr="005B1AA9">
        <w:rPr>
          <w:szCs w:val="20"/>
          <w:lang w:val="fr-FR"/>
        </w:rPr>
        <w:t>2358 7092</w:t>
      </w:r>
      <w:r>
        <w:rPr>
          <w:rFonts w:hint="eastAsia"/>
          <w:szCs w:val="20"/>
          <w:lang w:val="fr-FR"/>
        </w:rPr>
        <w:t xml:space="preserve">, </w:t>
      </w:r>
      <w:r>
        <w:rPr>
          <w:szCs w:val="20"/>
          <w:lang w:val="fr-FR"/>
        </w:rPr>
        <w:t>Email</w:t>
      </w:r>
      <w:r>
        <w:rPr>
          <w:rFonts w:hint="eastAsia"/>
          <w:szCs w:val="20"/>
          <w:lang w:val="fr-FR"/>
        </w:rPr>
        <w:t xml:space="preserve">: </w:t>
      </w:r>
      <w:hyperlink r:id="rId7" w:history="1">
        <w:r w:rsidR="005B1AA9" w:rsidRPr="00A434C3">
          <w:rPr>
            <w:rStyle w:val="aa"/>
            <w:szCs w:val="20"/>
            <w:lang w:val="fr-FR"/>
          </w:rPr>
          <w:t>season@ust.hk</w:t>
        </w:r>
      </w:hyperlink>
      <w:r w:rsidR="005B1AA9">
        <w:rPr>
          <w:szCs w:val="20"/>
          <w:lang w:val="fr-FR"/>
        </w:rPr>
        <w:t xml:space="preserve"> </w:t>
      </w:r>
    </w:p>
    <w:p w:rsidR="00367A90" w:rsidRDefault="00367A90" w:rsidP="0065001E">
      <w:pPr>
        <w:spacing w:line="240" w:lineRule="exact"/>
        <w:jc w:val="center"/>
        <w:rPr>
          <w:rFonts w:hint="eastAsia"/>
          <w:szCs w:val="20"/>
          <w:lang w:val="fr-FR" w:eastAsia="zh-TW"/>
        </w:rPr>
      </w:pPr>
      <w:bookmarkStart w:id="0" w:name="_GoBack"/>
      <w:bookmarkEnd w:id="0"/>
    </w:p>
    <w:p w:rsidR="00D11828" w:rsidRPr="0065001E" w:rsidRDefault="00367A90" w:rsidP="00367A90">
      <w:pPr>
        <w:rPr>
          <w:b/>
          <w:sz w:val="32"/>
          <w:szCs w:val="32"/>
          <w:lang w:val="fr-FR"/>
        </w:rPr>
      </w:pPr>
      <w:r w:rsidRPr="001704BB">
        <w:rPr>
          <w:lang w:val="sv-SE"/>
        </w:rPr>
        <w:t>†</w:t>
      </w:r>
      <w:r>
        <w:rPr>
          <w:lang w:val="sv-SE"/>
        </w:rPr>
        <w:t xml:space="preserve"> Corresponding author</w:t>
      </w:r>
    </w:p>
    <w:p w:rsidR="00D11828" w:rsidRDefault="00D11828" w:rsidP="005B1AA9"/>
    <w:p w:rsidR="00D11828" w:rsidRDefault="00EC025E">
      <w:pPr>
        <w:jc w:val="center"/>
      </w:pPr>
      <w:r>
        <w:rPr>
          <w:b/>
        </w:rPr>
        <w:t>Abstract</w:t>
      </w:r>
    </w:p>
    <w:p w:rsidR="00D11828" w:rsidRDefault="00D11828">
      <w:pPr>
        <w:jc w:val="both"/>
        <w:rPr>
          <w:sz w:val="20"/>
          <w:szCs w:val="20"/>
        </w:rPr>
      </w:pPr>
    </w:p>
    <w:p w:rsidR="00D11828" w:rsidRDefault="00EC025E">
      <w:pPr>
        <w:jc w:val="both"/>
        <w:rPr>
          <w:sz w:val="20"/>
          <w:szCs w:val="20"/>
        </w:rPr>
      </w:pPr>
      <w:r>
        <w:rPr>
          <w:sz w:val="20"/>
          <w:szCs w:val="20"/>
        </w:rPr>
        <w:t>All papers must include an Abstract. Begin with the word Abstract immediately following the title block with one blank line in between. Use centered, 12 point, Times New Roman Bold text for this heading. Use 10 point Times New Roman font for the text of the abstract. There should be a single blank line between the heading and this text. The abstract should be fully justified and consist of a single paragraph between 100 and 200 words (maximum of 200 words). The abstract must match the abstract submitted in XCD.</w:t>
      </w:r>
    </w:p>
    <w:p w:rsidR="00D11828" w:rsidRDefault="00D11828">
      <w:pPr>
        <w:jc w:val="both"/>
        <w:rPr>
          <w:sz w:val="20"/>
          <w:szCs w:val="20"/>
        </w:rPr>
      </w:pPr>
    </w:p>
    <w:p w:rsidR="00D11828" w:rsidRDefault="00D11828">
      <w:pPr>
        <w:jc w:val="both"/>
      </w:pPr>
    </w:p>
    <w:p w:rsidR="00D11828" w:rsidRDefault="00EC025E">
      <w:pPr>
        <w:jc w:val="both"/>
        <w:rPr>
          <w:sz w:val="20"/>
          <w:szCs w:val="20"/>
        </w:rPr>
      </w:pPr>
      <w:r>
        <w:rPr>
          <w:b/>
        </w:rPr>
        <w:t>Keywords</w:t>
      </w:r>
    </w:p>
    <w:p w:rsidR="00D11828" w:rsidRDefault="00EC025E">
      <w:pPr>
        <w:jc w:val="both"/>
        <w:rPr>
          <w:sz w:val="20"/>
          <w:szCs w:val="20"/>
        </w:rPr>
      </w:pPr>
      <w:r>
        <w:rPr>
          <w:sz w:val="20"/>
          <w:szCs w:val="20"/>
        </w:rPr>
        <w:t xml:space="preserve">Three to five keywords related to the main topic must be specified for all submissions. </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1. Paper Size</w:t>
      </w:r>
    </w:p>
    <w:p w:rsidR="00D11828" w:rsidRDefault="00EC025E">
      <w:pPr>
        <w:jc w:val="both"/>
        <w:rPr>
          <w:sz w:val="20"/>
          <w:szCs w:val="20"/>
        </w:rPr>
      </w:pPr>
      <w:r>
        <w:rPr>
          <w:sz w:val="20"/>
          <w:szCs w:val="20"/>
        </w:rPr>
        <w:t>Your paper should be formatt</w:t>
      </w:r>
      <w:r w:rsidR="004F6697">
        <w:rPr>
          <w:sz w:val="20"/>
          <w:szCs w:val="20"/>
        </w:rPr>
        <w:t>ed for A4</w:t>
      </w:r>
      <w:r>
        <w:rPr>
          <w:sz w:val="20"/>
          <w:szCs w:val="20"/>
        </w:rPr>
        <w:t xml:space="preserve"> paper format.</w:t>
      </w:r>
    </w:p>
    <w:p w:rsidR="00D11828" w:rsidRDefault="00D11828">
      <w:pPr>
        <w:pStyle w:val="2"/>
        <w:jc w:val="both"/>
        <w:rPr>
          <w:rFonts w:ascii="Times New Roman" w:eastAsia="Times New Roman" w:hAnsi="Times New Roman" w:cs="Times New Roman"/>
          <w:sz w:val="20"/>
          <w:szCs w:val="20"/>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2. Page Layout</w:t>
      </w:r>
    </w:p>
    <w:p w:rsidR="00D11828" w:rsidRDefault="00EC025E">
      <w:pPr>
        <w:jc w:val="both"/>
        <w:rPr>
          <w:sz w:val="20"/>
          <w:szCs w:val="20"/>
        </w:rPr>
      </w:pPr>
      <w:r>
        <w:rPr>
          <w:sz w:val="20"/>
          <w:szCs w:val="20"/>
        </w:rPr>
        <w:t xml:space="preserve">All papers must follow the following layout: </w:t>
      </w:r>
    </w:p>
    <w:p w:rsidR="00D11828" w:rsidRDefault="004F6697">
      <w:pPr>
        <w:numPr>
          <w:ilvl w:val="0"/>
          <w:numId w:val="1"/>
        </w:numPr>
        <w:jc w:val="both"/>
        <w:rPr>
          <w:sz w:val="20"/>
          <w:szCs w:val="20"/>
        </w:rPr>
      </w:pPr>
      <w:r>
        <w:rPr>
          <w:sz w:val="20"/>
          <w:szCs w:val="20"/>
        </w:rPr>
        <w:t>A4</w:t>
      </w:r>
      <w:r w:rsidR="00EC025E">
        <w:rPr>
          <w:sz w:val="20"/>
          <w:szCs w:val="20"/>
        </w:rPr>
        <w:t xml:space="preserve"> paper </w:t>
      </w:r>
    </w:p>
    <w:p w:rsidR="00D11828" w:rsidRDefault="00EC025E">
      <w:pPr>
        <w:numPr>
          <w:ilvl w:val="0"/>
          <w:numId w:val="1"/>
        </w:numPr>
        <w:jc w:val="both"/>
        <w:rPr>
          <w:sz w:val="20"/>
          <w:szCs w:val="20"/>
        </w:rPr>
      </w:pPr>
      <w:r>
        <w:rPr>
          <w:sz w:val="20"/>
          <w:szCs w:val="20"/>
        </w:rPr>
        <w:t xml:space="preserve">Top and bottom margins: 1.00", left and right margins: 1.00" </w:t>
      </w:r>
    </w:p>
    <w:p w:rsidR="00D11828" w:rsidRDefault="00EC025E">
      <w:pPr>
        <w:numPr>
          <w:ilvl w:val="0"/>
          <w:numId w:val="1"/>
        </w:numPr>
        <w:jc w:val="both"/>
        <w:rPr>
          <w:sz w:val="20"/>
          <w:szCs w:val="20"/>
        </w:rPr>
      </w:pPr>
      <w:r>
        <w:rPr>
          <w:sz w:val="20"/>
          <w:szCs w:val="20"/>
        </w:rPr>
        <w:t>Single-spacing in a single column</w:t>
      </w:r>
    </w:p>
    <w:p w:rsidR="00D11828" w:rsidRDefault="00EC025E">
      <w:pPr>
        <w:numPr>
          <w:ilvl w:val="0"/>
          <w:numId w:val="1"/>
        </w:numPr>
        <w:jc w:val="both"/>
        <w:rPr>
          <w:sz w:val="20"/>
          <w:szCs w:val="20"/>
        </w:rPr>
      </w:pPr>
      <w:r>
        <w:rPr>
          <w:sz w:val="20"/>
          <w:szCs w:val="20"/>
        </w:rPr>
        <w:t>Full text justification</w:t>
      </w:r>
    </w:p>
    <w:p w:rsidR="00D11828" w:rsidRDefault="00EC025E">
      <w:pPr>
        <w:numPr>
          <w:ilvl w:val="0"/>
          <w:numId w:val="1"/>
        </w:numPr>
        <w:jc w:val="both"/>
        <w:rPr>
          <w:sz w:val="20"/>
          <w:szCs w:val="20"/>
        </w:rPr>
      </w:pPr>
      <w:r>
        <w:rPr>
          <w:sz w:val="20"/>
          <w:szCs w:val="20"/>
        </w:rPr>
        <w:t xml:space="preserve">No footers or page numbers </w:t>
      </w:r>
    </w:p>
    <w:p w:rsidR="00D11828" w:rsidRDefault="00EC025E">
      <w:pPr>
        <w:numPr>
          <w:ilvl w:val="0"/>
          <w:numId w:val="1"/>
        </w:numPr>
        <w:jc w:val="both"/>
        <w:rPr>
          <w:sz w:val="20"/>
          <w:szCs w:val="20"/>
        </w:rPr>
      </w:pPr>
      <w:r>
        <w:rPr>
          <w:sz w:val="20"/>
          <w:szCs w:val="20"/>
        </w:rPr>
        <w:t xml:space="preserve">No indentation - use a single blank line to separate paragraphs </w:t>
      </w:r>
    </w:p>
    <w:p w:rsidR="00D11828" w:rsidRDefault="00EC025E">
      <w:pPr>
        <w:numPr>
          <w:ilvl w:val="0"/>
          <w:numId w:val="1"/>
        </w:numPr>
        <w:jc w:val="both"/>
        <w:rPr>
          <w:sz w:val="20"/>
          <w:szCs w:val="20"/>
        </w:rPr>
      </w:pPr>
      <w:r>
        <w:rPr>
          <w:sz w:val="20"/>
          <w:szCs w:val="20"/>
        </w:rPr>
        <w:t>Maximum of 6 total pages (</w:t>
      </w:r>
      <w:r>
        <w:rPr>
          <w:i/>
          <w:sz w:val="20"/>
          <w:szCs w:val="20"/>
        </w:rPr>
        <w:t>including author data, references, and any figures and tables</w:t>
      </w:r>
      <w:r>
        <w:rPr>
          <w:sz w:val="20"/>
          <w:szCs w:val="20"/>
        </w:rPr>
        <w:t xml:space="preserve">). </w:t>
      </w:r>
    </w:p>
    <w:p w:rsidR="00D11828" w:rsidRDefault="00EC025E">
      <w:pPr>
        <w:jc w:val="both"/>
        <w:rPr>
          <w:sz w:val="20"/>
          <w:szCs w:val="20"/>
        </w:rPr>
      </w:pPr>
      <w:r>
        <w:rPr>
          <w:sz w:val="20"/>
          <w:szCs w:val="20"/>
        </w:rPr>
        <w:t xml:space="preserve"> </w:t>
      </w: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 xml:space="preserve">3. Paper Title and Author Data </w:t>
      </w:r>
    </w:p>
    <w:p w:rsidR="00D11828" w:rsidRDefault="00EC025E">
      <w:pPr>
        <w:jc w:val="both"/>
        <w:rPr>
          <w:sz w:val="20"/>
          <w:szCs w:val="20"/>
        </w:rPr>
      </w:pPr>
      <w:r>
        <w:rPr>
          <w:sz w:val="20"/>
          <w:szCs w:val="20"/>
        </w:rPr>
        <w:t xml:space="preserve">The following information should be placed at the top of the first page: </w:t>
      </w:r>
    </w:p>
    <w:p w:rsidR="00D11828" w:rsidRDefault="00367A90">
      <w:pPr>
        <w:numPr>
          <w:ilvl w:val="0"/>
          <w:numId w:val="2"/>
        </w:numPr>
        <w:jc w:val="both"/>
        <w:rPr>
          <w:sz w:val="20"/>
          <w:szCs w:val="20"/>
        </w:rPr>
      </w:pPr>
      <w:r>
        <w:rPr>
          <w:sz w:val="20"/>
          <w:szCs w:val="20"/>
        </w:rPr>
        <w:t>Paper title: 20</w:t>
      </w:r>
      <w:r w:rsidR="00EC025E">
        <w:rPr>
          <w:sz w:val="20"/>
          <w:szCs w:val="20"/>
        </w:rPr>
        <w:t xml:space="preserve"> point Times New Roman bold, centered </w:t>
      </w:r>
    </w:p>
    <w:p w:rsidR="00367A90" w:rsidRDefault="00EC025E" w:rsidP="00367A90">
      <w:pPr>
        <w:numPr>
          <w:ilvl w:val="0"/>
          <w:numId w:val="2"/>
        </w:numPr>
        <w:jc w:val="both"/>
        <w:rPr>
          <w:sz w:val="20"/>
          <w:szCs w:val="20"/>
        </w:rPr>
      </w:pPr>
      <w:r>
        <w:rPr>
          <w:sz w:val="20"/>
          <w:szCs w:val="20"/>
        </w:rPr>
        <w:t>Author listing: 12 point Times New Roman, bold, centered author names; department or college; university or company; city, state and zip, country.</w:t>
      </w:r>
    </w:p>
    <w:p w:rsidR="00D11828" w:rsidRDefault="00367A90" w:rsidP="00367A90">
      <w:pPr>
        <w:ind w:left="720"/>
        <w:jc w:val="both"/>
        <w:rPr>
          <w:sz w:val="20"/>
          <w:szCs w:val="20"/>
        </w:rPr>
      </w:pPr>
      <w:r>
        <w:rPr>
          <w:sz w:val="20"/>
          <w:szCs w:val="20"/>
        </w:rPr>
        <w:t xml:space="preserve"> </w:t>
      </w:r>
    </w:p>
    <w:p w:rsidR="00D11828" w:rsidRDefault="00EC025E">
      <w:pPr>
        <w:pStyle w:val="2"/>
        <w:keepLines/>
        <w:jc w:val="both"/>
        <w:rPr>
          <w:rFonts w:ascii="Times New Roman" w:eastAsia="Times New Roman" w:hAnsi="Times New Roman" w:cs="Times New Roman"/>
        </w:rPr>
      </w:pPr>
      <w:r>
        <w:rPr>
          <w:rFonts w:ascii="Times New Roman" w:eastAsia="Times New Roman" w:hAnsi="Times New Roman" w:cs="Times New Roman"/>
        </w:rPr>
        <w:t>4. Text Sections and Headings</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Text Sections and Headings</w:t>
      </w:r>
    </w:p>
    <w:p w:rsidR="00D11828" w:rsidRDefault="00EC025E">
      <w:pPr>
        <w:jc w:val="both"/>
        <w:rPr>
          <w:sz w:val="20"/>
          <w:szCs w:val="20"/>
        </w:rPr>
      </w:pPr>
      <w:r>
        <w:rPr>
          <w:sz w:val="20"/>
          <w:szCs w:val="20"/>
        </w:rPr>
        <w:t xml:space="preserve">Text should be organized into sections and subsections, with an Introduction and a Conclusions section being advisable. A single line should separate paragraphs; no indentation should be used. Font guidelines are as follows: </w:t>
      </w:r>
    </w:p>
    <w:p w:rsidR="00D11828" w:rsidRDefault="00EC025E">
      <w:pPr>
        <w:numPr>
          <w:ilvl w:val="0"/>
          <w:numId w:val="4"/>
        </w:numPr>
        <w:jc w:val="both"/>
        <w:rPr>
          <w:sz w:val="20"/>
          <w:szCs w:val="20"/>
        </w:rPr>
      </w:pPr>
      <w:r>
        <w:rPr>
          <w:sz w:val="20"/>
          <w:szCs w:val="20"/>
        </w:rPr>
        <w:lastRenderedPageBreak/>
        <w:t>Section Headings: Numbered, 12 point, bold, Upper and Lower Case, left-justified; leave one blank line above only.</w:t>
      </w:r>
    </w:p>
    <w:p w:rsidR="00D11828" w:rsidRDefault="00EC025E">
      <w:pPr>
        <w:numPr>
          <w:ilvl w:val="0"/>
          <w:numId w:val="4"/>
        </w:numPr>
        <w:jc w:val="both"/>
        <w:rPr>
          <w:sz w:val="20"/>
          <w:szCs w:val="20"/>
        </w:rPr>
      </w:pPr>
      <w:r>
        <w:rPr>
          <w:sz w:val="20"/>
          <w:szCs w:val="20"/>
        </w:rPr>
        <w:t>Section Sub-headings: Numbered, 10 point, bold, Upper and Lower Case, left-justified; leave one blank line above only.</w:t>
      </w:r>
    </w:p>
    <w:p w:rsidR="00D11828" w:rsidRDefault="00EC025E">
      <w:pPr>
        <w:numPr>
          <w:ilvl w:val="0"/>
          <w:numId w:val="4"/>
        </w:numPr>
        <w:jc w:val="both"/>
        <w:rPr>
          <w:sz w:val="20"/>
          <w:szCs w:val="20"/>
        </w:rPr>
      </w:pPr>
      <w:r>
        <w:rPr>
          <w:sz w:val="20"/>
          <w:szCs w:val="20"/>
        </w:rPr>
        <w:t>Regular text: 10 point Times New Roman, full justified, with a single line between paragraphs.</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Bullets</w:t>
      </w:r>
    </w:p>
    <w:p w:rsidR="00D11828" w:rsidRDefault="00EC025E">
      <w:pPr>
        <w:jc w:val="both"/>
        <w:rPr>
          <w:sz w:val="20"/>
          <w:szCs w:val="20"/>
        </w:rPr>
      </w:pPr>
      <w:r>
        <w:rPr>
          <w:sz w:val="20"/>
          <w:szCs w:val="20"/>
        </w:rPr>
        <w:t>Bullet guidelines are as follows:</w:t>
      </w:r>
    </w:p>
    <w:p w:rsidR="00D11828" w:rsidRDefault="00EC025E">
      <w:pPr>
        <w:numPr>
          <w:ilvl w:val="0"/>
          <w:numId w:val="4"/>
        </w:numPr>
        <w:jc w:val="both"/>
        <w:rPr>
          <w:sz w:val="20"/>
          <w:szCs w:val="20"/>
        </w:rPr>
      </w:pPr>
      <w:r>
        <w:rPr>
          <w:sz w:val="20"/>
          <w:szCs w:val="20"/>
        </w:rPr>
        <w:t>First level bullet.</w:t>
      </w:r>
    </w:p>
    <w:p w:rsidR="00D11828" w:rsidRDefault="00EC025E">
      <w:pPr>
        <w:numPr>
          <w:ilvl w:val="0"/>
          <w:numId w:val="5"/>
        </w:numPr>
        <w:ind w:left="1080"/>
        <w:jc w:val="both"/>
        <w:rPr>
          <w:sz w:val="20"/>
          <w:szCs w:val="20"/>
        </w:rPr>
      </w:pPr>
      <w:r>
        <w:rPr>
          <w:sz w:val="20"/>
          <w:szCs w:val="20"/>
        </w:rPr>
        <w:t>Second level bullet.</w:t>
      </w:r>
    </w:p>
    <w:p w:rsidR="00D11828" w:rsidRDefault="00EC025E">
      <w:pPr>
        <w:numPr>
          <w:ilvl w:val="1"/>
          <w:numId w:val="6"/>
        </w:numPr>
        <w:jc w:val="both"/>
        <w:rPr>
          <w:sz w:val="20"/>
          <w:szCs w:val="20"/>
        </w:rPr>
      </w:pPr>
      <w:r>
        <w:rPr>
          <w:sz w:val="20"/>
          <w:szCs w:val="20"/>
        </w:rPr>
        <w:t>Third level bullet.</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5. Figures, Tables, and Their Captions</w:t>
      </w:r>
    </w:p>
    <w:p w:rsidR="00D11828" w:rsidRDefault="00EC025E">
      <w:pPr>
        <w:jc w:val="both"/>
        <w:rPr>
          <w:sz w:val="20"/>
          <w:szCs w:val="20"/>
        </w:rPr>
      </w:pPr>
      <w:r>
        <w:rPr>
          <w:sz w:val="20"/>
          <w:szCs w:val="20"/>
        </w:rPr>
        <w:t>Tables and figures should be included in the main text (see Figure 1 and Table 1), as close to the point of their introduction as possible. It is noted that figure and table numbering should be independent. Captions guidelines are as follows:</w:t>
      </w:r>
    </w:p>
    <w:p w:rsidR="00D11828" w:rsidRDefault="00D11828">
      <w:pPr>
        <w:jc w:val="both"/>
        <w:rPr>
          <w:sz w:val="20"/>
          <w:szCs w:val="20"/>
        </w:rPr>
      </w:pPr>
    </w:p>
    <w:p w:rsidR="00D11828" w:rsidRDefault="00EC025E">
      <w:pPr>
        <w:numPr>
          <w:ilvl w:val="0"/>
          <w:numId w:val="4"/>
        </w:numPr>
        <w:jc w:val="both"/>
        <w:rPr>
          <w:sz w:val="20"/>
          <w:szCs w:val="20"/>
        </w:rPr>
      </w:pPr>
      <w:r>
        <w:rPr>
          <w:sz w:val="20"/>
          <w:szCs w:val="20"/>
        </w:rPr>
        <w:t>Figure captions: 10 point Times New Roman, centered; place below the figure, leave one blank line above and below. For example, see Figure 1 below.</w:t>
      </w:r>
    </w:p>
    <w:p w:rsidR="00D11828" w:rsidRDefault="00EC025E">
      <w:pPr>
        <w:numPr>
          <w:ilvl w:val="0"/>
          <w:numId w:val="4"/>
        </w:numPr>
        <w:jc w:val="both"/>
        <w:rPr>
          <w:sz w:val="20"/>
          <w:szCs w:val="20"/>
        </w:rPr>
      </w:pPr>
      <w:r>
        <w:rPr>
          <w:sz w:val="20"/>
          <w:szCs w:val="20"/>
        </w:rPr>
        <w:t>Table caption: 10 point Times New Roman, centered; place above the table, leave one blank line above only. For example, see Table 1 below.</w:t>
      </w:r>
    </w:p>
    <w:p w:rsidR="00D11828" w:rsidRDefault="00D11828">
      <w:pPr>
        <w:jc w:val="both"/>
        <w:rPr>
          <w:sz w:val="20"/>
          <w:szCs w:val="20"/>
        </w:rPr>
      </w:pPr>
    </w:p>
    <w:p w:rsidR="00D11828" w:rsidRDefault="00EC025E">
      <w:pPr>
        <w:jc w:val="center"/>
      </w:pPr>
      <w:r>
        <w:rPr>
          <w:noProof/>
          <w:lang w:eastAsia="zh-TW"/>
        </w:rPr>
        <w:drawing>
          <wp:inline distT="0" distB="0" distL="114300" distR="114300">
            <wp:extent cx="4011930" cy="163385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11930" cy="1633855"/>
                    </a:xfrm>
                    <a:prstGeom prst="rect">
                      <a:avLst/>
                    </a:prstGeom>
                    <a:ln/>
                  </pic:spPr>
                </pic:pic>
              </a:graphicData>
            </a:graphic>
          </wp:inline>
        </w:drawing>
      </w:r>
    </w:p>
    <w:p w:rsidR="00D11828" w:rsidRDefault="00D11828">
      <w:pPr>
        <w:jc w:val="center"/>
        <w:rPr>
          <w:sz w:val="20"/>
          <w:szCs w:val="20"/>
        </w:rPr>
      </w:pPr>
    </w:p>
    <w:p w:rsidR="00D11828" w:rsidRDefault="00EC025E">
      <w:pPr>
        <w:jc w:val="center"/>
        <w:rPr>
          <w:sz w:val="20"/>
          <w:szCs w:val="20"/>
        </w:rPr>
      </w:pPr>
      <w:r>
        <w:rPr>
          <w:sz w:val="20"/>
          <w:szCs w:val="20"/>
        </w:rPr>
        <w:t>Figure 1: Example figure for demonstration</w:t>
      </w:r>
    </w:p>
    <w:p w:rsidR="00D11828" w:rsidRDefault="00D11828">
      <w:pPr>
        <w:jc w:val="both"/>
        <w:rPr>
          <w:sz w:val="20"/>
          <w:szCs w:val="20"/>
        </w:rPr>
      </w:pPr>
    </w:p>
    <w:p w:rsidR="00D11828" w:rsidRDefault="00EC025E">
      <w:pPr>
        <w:jc w:val="both"/>
        <w:rPr>
          <w:sz w:val="20"/>
          <w:szCs w:val="20"/>
        </w:rPr>
      </w:pPr>
      <w:r>
        <w:rPr>
          <w:sz w:val="20"/>
          <w:szCs w:val="20"/>
        </w:rPr>
        <w:t>This is an example paragraph to demonstrate the guidelines for the figure and table captions.</w:t>
      </w:r>
    </w:p>
    <w:p w:rsidR="00D11828" w:rsidRDefault="00D11828">
      <w:pPr>
        <w:jc w:val="both"/>
        <w:rPr>
          <w:sz w:val="20"/>
          <w:szCs w:val="20"/>
        </w:rPr>
      </w:pPr>
    </w:p>
    <w:p w:rsidR="00D11828" w:rsidRDefault="00D11828">
      <w:pPr>
        <w:jc w:val="both"/>
        <w:rPr>
          <w:sz w:val="20"/>
          <w:szCs w:val="20"/>
        </w:rPr>
      </w:pPr>
    </w:p>
    <w:p w:rsidR="00D11828" w:rsidRDefault="00D11828">
      <w:pPr>
        <w:jc w:val="both"/>
        <w:rPr>
          <w:sz w:val="20"/>
          <w:szCs w:val="20"/>
        </w:rPr>
      </w:pPr>
    </w:p>
    <w:p w:rsidR="00D11828" w:rsidRDefault="00D11828">
      <w:pPr>
        <w:jc w:val="both"/>
        <w:rPr>
          <w:sz w:val="20"/>
          <w:szCs w:val="20"/>
        </w:rPr>
      </w:pPr>
    </w:p>
    <w:p w:rsidR="00D11828" w:rsidRDefault="00EC025E">
      <w:pPr>
        <w:keepNext/>
        <w:jc w:val="center"/>
        <w:rPr>
          <w:sz w:val="20"/>
          <w:szCs w:val="20"/>
        </w:rPr>
      </w:pPr>
      <w:r>
        <w:rPr>
          <w:sz w:val="20"/>
          <w:szCs w:val="20"/>
        </w:rPr>
        <w:t>Table 1: Example table for demonstration</w:t>
      </w:r>
    </w:p>
    <w:tbl>
      <w:tblPr>
        <w:tblStyle w:val="a5"/>
        <w:tblW w:w="8856" w:type="dxa"/>
        <w:jc w:val="center"/>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188"/>
        <w:gridCol w:w="2306"/>
        <w:gridCol w:w="1760"/>
        <w:gridCol w:w="1733"/>
        <w:gridCol w:w="1869"/>
      </w:tblGrid>
      <w:tr w:rsidR="00D11828">
        <w:trPr>
          <w:jc w:val="center"/>
        </w:trPr>
        <w:tc>
          <w:tcPr>
            <w:tcW w:w="3494" w:type="dxa"/>
            <w:gridSpan w:val="2"/>
            <w:tcBorders>
              <w:top w:val="single" w:sz="4" w:space="0" w:color="000000"/>
              <w:bottom w:val="single" w:sz="4" w:space="0" w:color="000000"/>
            </w:tcBorders>
          </w:tcPr>
          <w:p w:rsidR="00D11828" w:rsidRDefault="00D11828">
            <w:pPr>
              <w:rPr>
                <w:sz w:val="20"/>
                <w:szCs w:val="20"/>
              </w:rPr>
            </w:pPr>
          </w:p>
        </w:tc>
        <w:tc>
          <w:tcPr>
            <w:tcW w:w="1760" w:type="dxa"/>
            <w:tcBorders>
              <w:top w:val="single" w:sz="4" w:space="0" w:color="000000"/>
              <w:bottom w:val="single" w:sz="4" w:space="0" w:color="000000"/>
            </w:tcBorders>
          </w:tcPr>
          <w:p w:rsidR="00D11828" w:rsidRDefault="00EC025E">
            <w:pPr>
              <w:jc w:val="center"/>
              <w:rPr>
                <w:sz w:val="20"/>
                <w:szCs w:val="20"/>
              </w:rPr>
            </w:pPr>
            <w:r>
              <w:rPr>
                <w:sz w:val="20"/>
                <w:szCs w:val="20"/>
              </w:rPr>
              <w:t>Conservative</w:t>
            </w:r>
          </w:p>
        </w:tc>
        <w:tc>
          <w:tcPr>
            <w:tcW w:w="1733" w:type="dxa"/>
            <w:tcBorders>
              <w:top w:val="single" w:sz="4" w:space="0" w:color="000000"/>
              <w:bottom w:val="single" w:sz="4" w:space="0" w:color="000000"/>
            </w:tcBorders>
          </w:tcPr>
          <w:p w:rsidR="00D11828" w:rsidRDefault="00EC025E">
            <w:pPr>
              <w:jc w:val="center"/>
              <w:rPr>
                <w:sz w:val="20"/>
                <w:szCs w:val="20"/>
              </w:rPr>
            </w:pPr>
            <w:r>
              <w:rPr>
                <w:sz w:val="20"/>
                <w:szCs w:val="20"/>
              </w:rPr>
              <w:t>Epoch</w:t>
            </w:r>
          </w:p>
        </w:tc>
        <w:tc>
          <w:tcPr>
            <w:tcW w:w="1869" w:type="dxa"/>
            <w:tcBorders>
              <w:top w:val="single" w:sz="4" w:space="0" w:color="000000"/>
              <w:bottom w:val="single" w:sz="4" w:space="0" w:color="000000"/>
            </w:tcBorders>
          </w:tcPr>
          <w:p w:rsidR="00D11828" w:rsidRDefault="00EC025E">
            <w:pPr>
              <w:rPr>
                <w:sz w:val="20"/>
                <w:szCs w:val="20"/>
              </w:rPr>
            </w:pPr>
            <w:r>
              <w:rPr>
                <w:sz w:val="20"/>
                <w:szCs w:val="20"/>
              </w:rPr>
              <w:t>Improvement (%)</w:t>
            </w:r>
          </w:p>
        </w:tc>
      </w:tr>
      <w:tr w:rsidR="00D11828">
        <w:trPr>
          <w:jc w:val="center"/>
        </w:trPr>
        <w:tc>
          <w:tcPr>
            <w:tcW w:w="1188" w:type="dxa"/>
            <w:vMerge w:val="restart"/>
            <w:tcBorders>
              <w:top w:val="single" w:sz="4" w:space="0" w:color="000000"/>
            </w:tcBorders>
            <w:vAlign w:val="center"/>
          </w:tcPr>
          <w:p w:rsidR="00D11828" w:rsidRDefault="00EC025E">
            <w:pPr>
              <w:rPr>
                <w:sz w:val="20"/>
                <w:szCs w:val="20"/>
              </w:rPr>
            </w:pPr>
            <w:r>
              <w:rPr>
                <w:sz w:val="20"/>
                <w:szCs w:val="20"/>
              </w:rPr>
              <w:t>Six epochs</w:t>
            </w:r>
          </w:p>
        </w:tc>
        <w:tc>
          <w:tcPr>
            <w:tcW w:w="2306" w:type="dxa"/>
            <w:tcBorders>
              <w:top w:val="single" w:sz="4" w:space="0" w:color="000000"/>
              <w:bottom w:val="single" w:sz="4" w:space="0" w:color="000000"/>
            </w:tcBorders>
            <w:vAlign w:val="center"/>
          </w:tcPr>
          <w:p w:rsidR="00D11828" w:rsidRDefault="00EC025E">
            <w:pPr>
              <w:rPr>
                <w:sz w:val="20"/>
                <w:szCs w:val="20"/>
              </w:rPr>
            </w:pPr>
            <w:r>
              <w:rPr>
                <w:sz w:val="20"/>
                <w:szCs w:val="20"/>
              </w:rPr>
              <w:t>Federation run time</w:t>
            </w:r>
          </w:p>
        </w:tc>
        <w:tc>
          <w:tcPr>
            <w:tcW w:w="1760"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1.1</w:t>
            </w:r>
          </w:p>
        </w:tc>
        <w:tc>
          <w:tcPr>
            <w:tcW w:w="1733"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0.44</w:t>
            </w:r>
          </w:p>
        </w:tc>
        <w:tc>
          <w:tcPr>
            <w:tcW w:w="1869"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62.8</w:t>
            </w:r>
          </w:p>
        </w:tc>
      </w:tr>
      <w:tr w:rsidR="00D11828">
        <w:trPr>
          <w:jc w:val="center"/>
        </w:trPr>
        <w:tc>
          <w:tcPr>
            <w:tcW w:w="1188" w:type="dxa"/>
            <w:vMerge/>
            <w:tcBorders>
              <w:top w:val="single" w:sz="4" w:space="0" w:color="000000"/>
            </w:tcBorders>
            <w:vAlign w:val="center"/>
          </w:tcPr>
          <w:p w:rsidR="00D11828" w:rsidRDefault="00D11828">
            <w:pPr>
              <w:rPr>
                <w:sz w:val="20"/>
                <w:szCs w:val="20"/>
              </w:rPr>
            </w:pPr>
          </w:p>
        </w:tc>
        <w:tc>
          <w:tcPr>
            <w:tcW w:w="2306" w:type="dxa"/>
            <w:tcBorders>
              <w:top w:val="single" w:sz="4" w:space="0" w:color="000000"/>
              <w:bottom w:val="single" w:sz="4" w:space="0" w:color="000000"/>
            </w:tcBorders>
            <w:vAlign w:val="center"/>
          </w:tcPr>
          <w:p w:rsidR="00D11828" w:rsidRDefault="00EC025E">
            <w:pPr>
              <w:rPr>
                <w:sz w:val="20"/>
                <w:szCs w:val="20"/>
              </w:rPr>
            </w:pPr>
            <w:r>
              <w:rPr>
                <w:sz w:val="20"/>
                <w:szCs w:val="20"/>
              </w:rPr>
              <w:t>Number of time advance messages exchanged</w:t>
            </w:r>
          </w:p>
        </w:tc>
        <w:tc>
          <w:tcPr>
            <w:tcW w:w="1760"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9470</w:t>
            </w:r>
          </w:p>
        </w:tc>
        <w:tc>
          <w:tcPr>
            <w:tcW w:w="1733"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1027</w:t>
            </w:r>
          </w:p>
        </w:tc>
        <w:tc>
          <w:tcPr>
            <w:tcW w:w="1869"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89.2</w:t>
            </w:r>
          </w:p>
        </w:tc>
      </w:tr>
      <w:tr w:rsidR="00D11828">
        <w:trPr>
          <w:jc w:val="center"/>
        </w:trPr>
        <w:tc>
          <w:tcPr>
            <w:tcW w:w="1188" w:type="dxa"/>
            <w:vMerge/>
            <w:tcBorders>
              <w:top w:val="single" w:sz="4" w:space="0" w:color="000000"/>
            </w:tcBorders>
            <w:vAlign w:val="center"/>
          </w:tcPr>
          <w:p w:rsidR="00D11828" w:rsidRDefault="00D11828">
            <w:pPr>
              <w:rPr>
                <w:sz w:val="20"/>
                <w:szCs w:val="20"/>
              </w:rPr>
            </w:pPr>
          </w:p>
        </w:tc>
        <w:tc>
          <w:tcPr>
            <w:tcW w:w="2306" w:type="dxa"/>
            <w:tcBorders>
              <w:top w:val="single" w:sz="4" w:space="0" w:color="000000"/>
              <w:bottom w:val="single" w:sz="4" w:space="0" w:color="000000"/>
            </w:tcBorders>
            <w:vAlign w:val="center"/>
          </w:tcPr>
          <w:p w:rsidR="00D11828" w:rsidRDefault="00EC025E">
            <w:pPr>
              <w:rPr>
                <w:sz w:val="20"/>
                <w:szCs w:val="20"/>
              </w:rPr>
            </w:pPr>
            <w:r>
              <w:rPr>
                <w:sz w:val="20"/>
                <w:szCs w:val="20"/>
              </w:rPr>
              <w:t>Number of checking messages exchanged</w:t>
            </w:r>
          </w:p>
        </w:tc>
        <w:tc>
          <w:tcPr>
            <w:tcW w:w="1760"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34302</w:t>
            </w:r>
          </w:p>
        </w:tc>
        <w:tc>
          <w:tcPr>
            <w:tcW w:w="1733"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23533</w:t>
            </w:r>
          </w:p>
        </w:tc>
        <w:tc>
          <w:tcPr>
            <w:tcW w:w="1869" w:type="dxa"/>
            <w:tcBorders>
              <w:top w:val="single" w:sz="4" w:space="0" w:color="000000"/>
              <w:bottom w:val="single" w:sz="4" w:space="0" w:color="000000"/>
            </w:tcBorders>
            <w:vAlign w:val="center"/>
          </w:tcPr>
          <w:p w:rsidR="00D11828" w:rsidRDefault="00EC025E">
            <w:pPr>
              <w:jc w:val="center"/>
              <w:rPr>
                <w:sz w:val="20"/>
                <w:szCs w:val="20"/>
              </w:rPr>
            </w:pPr>
            <w:r>
              <w:rPr>
                <w:sz w:val="20"/>
                <w:szCs w:val="20"/>
              </w:rPr>
              <w:t>31.4</w:t>
            </w:r>
          </w:p>
        </w:tc>
      </w:tr>
    </w:tbl>
    <w:p w:rsidR="00D11828" w:rsidRDefault="00D11828">
      <w:pPr>
        <w:pStyle w:val="2"/>
        <w:jc w:val="both"/>
        <w:rPr>
          <w:rFonts w:ascii="Times New Roman" w:eastAsia="Times New Roman" w:hAnsi="Times New Roman" w:cs="Times New Roman"/>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6. Equations</w:t>
      </w:r>
    </w:p>
    <w:p w:rsidR="00D11828" w:rsidRDefault="00EC025E">
      <w:pPr>
        <w:jc w:val="both"/>
        <w:rPr>
          <w:sz w:val="20"/>
          <w:szCs w:val="20"/>
        </w:rPr>
      </w:pPr>
      <w:r>
        <w:rPr>
          <w:sz w:val="20"/>
          <w:szCs w:val="20"/>
        </w:rPr>
        <w:t>Equations should be centered and numbered, with the number in parentheses, positioned flush to the right margin. Preferably, they should be prepared with an Equation Writer. See Equation (1) below for the demonstration.</w:t>
      </w:r>
    </w:p>
    <w:p w:rsidR="00D11828" w:rsidRDefault="00EC025E">
      <w:pPr>
        <w:jc w:val="right"/>
        <w:rPr>
          <w:sz w:val="20"/>
          <w:szCs w:val="20"/>
        </w:rPr>
      </w:pPr>
      <w:r>
        <w:t xml:space="preserve">              </w:t>
      </w:r>
      <w:r>
        <w:rPr>
          <w:noProof/>
          <w:lang w:eastAsia="zh-TW"/>
        </w:rPr>
        <w:drawing>
          <wp:inline distT="0" distB="0" distL="114300" distR="114300">
            <wp:extent cx="1812925" cy="1860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12925" cy="186055"/>
                    </a:xfrm>
                    <a:prstGeom prst="rect">
                      <a:avLst/>
                    </a:prstGeom>
                    <a:ln/>
                  </pic:spPr>
                </pic:pic>
              </a:graphicData>
            </a:graphic>
          </wp:inline>
        </w:drawing>
      </w:r>
      <w:r>
        <w:t xml:space="preserve">          </w:t>
      </w:r>
      <w:r>
        <w:tab/>
      </w:r>
      <w:r>
        <w:tab/>
      </w:r>
      <w:r>
        <w:tab/>
      </w:r>
      <w:r>
        <w:tab/>
      </w:r>
      <w:r>
        <w:tab/>
      </w:r>
      <w:r>
        <w:tab/>
      </w:r>
      <w:r>
        <w:tab/>
        <w:t xml:space="preserve">  (1)</w:t>
      </w: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7. Page Numbers</w:t>
      </w:r>
    </w:p>
    <w:p w:rsidR="00D11828" w:rsidRDefault="00EC025E">
      <w:pPr>
        <w:jc w:val="both"/>
        <w:rPr>
          <w:sz w:val="20"/>
          <w:szCs w:val="20"/>
        </w:rPr>
      </w:pPr>
      <w:r>
        <w:rPr>
          <w:sz w:val="20"/>
          <w:szCs w:val="20"/>
        </w:rPr>
        <w:t>No page numbers should appear on the paper.</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lastRenderedPageBreak/>
        <w:t>Acknowledgements</w:t>
      </w:r>
    </w:p>
    <w:p w:rsidR="00E11770" w:rsidRPr="00E11770" w:rsidRDefault="00EC025E" w:rsidP="00E11770">
      <w:pPr>
        <w:jc w:val="both"/>
        <w:rPr>
          <w:sz w:val="20"/>
          <w:szCs w:val="20"/>
        </w:rPr>
      </w:pPr>
      <w:r>
        <w:rPr>
          <w:sz w:val="20"/>
          <w:szCs w:val="20"/>
        </w:rPr>
        <w:t xml:space="preserve">Acknowledgement of funding support and/or any other kind of assistance should be contained in an "Acknowledgements" section (this section should have no section number), located immediately before the "References" section. </w:t>
      </w:r>
      <w:r w:rsidR="00F537FD">
        <w:rPr>
          <w:sz w:val="20"/>
          <w:szCs w:val="20"/>
        </w:rPr>
        <w:t>This</w:t>
      </w:r>
      <w:r w:rsidR="00E11770">
        <w:rPr>
          <w:sz w:val="20"/>
          <w:szCs w:val="20"/>
        </w:rPr>
        <w:t xml:space="preserve"> instruction </w:t>
      </w:r>
      <w:r w:rsidR="00F537FD">
        <w:rPr>
          <w:sz w:val="20"/>
          <w:szCs w:val="20"/>
        </w:rPr>
        <w:t xml:space="preserve">document is </w:t>
      </w:r>
      <w:r w:rsidR="00E11770">
        <w:rPr>
          <w:sz w:val="20"/>
          <w:szCs w:val="20"/>
        </w:rPr>
        <w:t xml:space="preserve">a modification version of </w:t>
      </w:r>
      <w:r w:rsidR="00E11770" w:rsidRPr="00E11770">
        <w:rPr>
          <w:sz w:val="20"/>
          <w:szCs w:val="20"/>
        </w:rPr>
        <w:t>Paper Formatting Guidelines</w:t>
      </w:r>
      <w:r w:rsidR="00E11770">
        <w:rPr>
          <w:sz w:val="20"/>
          <w:szCs w:val="20"/>
        </w:rPr>
        <w:t xml:space="preserve"> of the</w:t>
      </w:r>
      <w:r w:rsidR="00E11770">
        <w:rPr>
          <w:rFonts w:hint="eastAsia"/>
          <w:sz w:val="20"/>
          <w:szCs w:val="20"/>
          <w:lang w:eastAsia="zh-TW"/>
        </w:rPr>
        <w:t xml:space="preserve"> </w:t>
      </w:r>
      <w:r w:rsidR="00E11770" w:rsidRPr="00E11770">
        <w:rPr>
          <w:sz w:val="20"/>
          <w:szCs w:val="20"/>
        </w:rPr>
        <w:t>IISE 2018 Conference &amp; Expo</w:t>
      </w:r>
      <w:r w:rsidR="00E11770">
        <w:rPr>
          <w:sz w:val="20"/>
          <w:szCs w:val="20"/>
        </w:rPr>
        <w:t xml:space="preserve">. </w:t>
      </w:r>
    </w:p>
    <w:p w:rsidR="00D11828" w:rsidRDefault="00D11828">
      <w:pPr>
        <w:jc w:val="both"/>
        <w:rPr>
          <w:sz w:val="20"/>
          <w:szCs w:val="20"/>
        </w:rPr>
      </w:pPr>
    </w:p>
    <w:p w:rsidR="00D11828" w:rsidRDefault="00EC025E">
      <w:pPr>
        <w:pStyle w:val="2"/>
        <w:jc w:val="both"/>
        <w:rPr>
          <w:rFonts w:ascii="Times New Roman" w:eastAsia="Times New Roman" w:hAnsi="Times New Roman" w:cs="Times New Roman"/>
        </w:rPr>
      </w:pPr>
      <w:r>
        <w:rPr>
          <w:rFonts w:ascii="Times New Roman" w:eastAsia="Times New Roman" w:hAnsi="Times New Roman" w:cs="Times New Roman"/>
        </w:rPr>
        <w:t>References and Citations from Texts</w:t>
      </w:r>
    </w:p>
    <w:p w:rsidR="00D11828" w:rsidRDefault="00EC025E">
      <w:pPr>
        <w:jc w:val="both"/>
        <w:rPr>
          <w:sz w:val="20"/>
          <w:szCs w:val="20"/>
        </w:rPr>
      </w:pPr>
      <w:r>
        <w:rPr>
          <w:sz w:val="20"/>
          <w:szCs w:val="20"/>
        </w:rPr>
        <w:t xml:space="preserve">References should be numbered sequentially by order of occurrence in the text and listed in a separate section labeled References (this section should have no section number) at the end of the document. Within the text, they should be cited by the corresponding list number, which should be enclosed in brackets [1]. If you refer to two documents, use the following format [6, 7]. If you refer to more than three documents listed consecutively, use the format [5-8]. </w:t>
      </w:r>
      <w:r w:rsidR="00696D2E">
        <w:rPr>
          <w:sz w:val="20"/>
          <w:szCs w:val="20"/>
        </w:rPr>
        <w:t>Please follow the reference format of IISE Transactions</w:t>
      </w:r>
      <w:r>
        <w:rPr>
          <w:sz w:val="20"/>
          <w:szCs w:val="20"/>
        </w:rPr>
        <w:t>.</w:t>
      </w:r>
      <w:r w:rsidR="00696D2E">
        <w:rPr>
          <w:sz w:val="20"/>
          <w:szCs w:val="20"/>
        </w:rPr>
        <w:t xml:space="preserve"> If Endnote is applied in the article, you can find the reference style in </w:t>
      </w:r>
      <w:hyperlink r:id="rId10" w:history="1">
        <w:r w:rsidR="00696D2E" w:rsidRPr="00EF45C8">
          <w:rPr>
            <w:rStyle w:val="aa"/>
            <w:sz w:val="20"/>
            <w:szCs w:val="20"/>
          </w:rPr>
          <w:t>http://endnote.com/styles/IIE%20Transactions.ens</w:t>
        </w:r>
      </w:hyperlink>
      <w:r w:rsidR="00696D2E">
        <w:rPr>
          <w:sz w:val="20"/>
          <w:szCs w:val="20"/>
        </w:rPr>
        <w:t xml:space="preserve"> </w:t>
      </w:r>
    </w:p>
    <w:p w:rsidR="00D11828" w:rsidRDefault="00D11828">
      <w:pPr>
        <w:jc w:val="both"/>
        <w:rPr>
          <w:sz w:val="20"/>
          <w:szCs w:val="20"/>
        </w:rPr>
      </w:pPr>
    </w:p>
    <w:p w:rsidR="00D11828" w:rsidRDefault="00EC025E">
      <w:pPr>
        <w:jc w:val="both"/>
      </w:pPr>
      <w:r>
        <w:rPr>
          <w:b/>
        </w:rPr>
        <w:t>References</w:t>
      </w:r>
    </w:p>
    <w:p w:rsidR="00E11770" w:rsidRPr="00E11770" w:rsidRDefault="00E11770" w:rsidP="00E11770">
      <w:pPr>
        <w:numPr>
          <w:ilvl w:val="0"/>
          <w:numId w:val="3"/>
        </w:numPr>
        <w:jc w:val="both"/>
        <w:rPr>
          <w:sz w:val="20"/>
          <w:szCs w:val="20"/>
        </w:rPr>
      </w:pPr>
      <w:r w:rsidRPr="00E11770">
        <w:rPr>
          <w:sz w:val="20"/>
          <w:szCs w:val="20"/>
        </w:rPr>
        <w:t>Kim J, Lee Y, Kim H. Detection and clustering of mixed-type defect patterns in wafer bin maps. IISE Transactions 2018; 50:99-111.</w:t>
      </w:r>
    </w:p>
    <w:p w:rsidR="00E11770" w:rsidRPr="00E11770" w:rsidRDefault="00E11770" w:rsidP="00E11770">
      <w:pPr>
        <w:numPr>
          <w:ilvl w:val="0"/>
          <w:numId w:val="3"/>
        </w:numPr>
        <w:jc w:val="both"/>
        <w:rPr>
          <w:sz w:val="20"/>
          <w:szCs w:val="20"/>
        </w:rPr>
      </w:pPr>
      <w:r w:rsidRPr="00E11770">
        <w:rPr>
          <w:sz w:val="20"/>
          <w:szCs w:val="20"/>
        </w:rPr>
        <w:t xml:space="preserve">Ning X, Shang Y, </w:t>
      </w:r>
      <w:proofErr w:type="spellStart"/>
      <w:r w:rsidRPr="00E11770">
        <w:rPr>
          <w:sz w:val="20"/>
          <w:szCs w:val="20"/>
        </w:rPr>
        <w:t>Tsung</w:t>
      </w:r>
      <w:proofErr w:type="spellEnd"/>
      <w:r w:rsidRPr="00E11770">
        <w:rPr>
          <w:sz w:val="20"/>
          <w:szCs w:val="20"/>
        </w:rPr>
        <w:t xml:space="preserve"> F. Statistical process control techniques for service processes: a review. 2009 6th International Conference on Service Systems and Service Management, 2009:927-31.</w:t>
      </w:r>
    </w:p>
    <w:p w:rsidR="00E11770" w:rsidRPr="00E11770" w:rsidRDefault="00E11770" w:rsidP="00E11770">
      <w:pPr>
        <w:numPr>
          <w:ilvl w:val="0"/>
          <w:numId w:val="3"/>
        </w:numPr>
        <w:jc w:val="both"/>
        <w:rPr>
          <w:sz w:val="20"/>
          <w:szCs w:val="20"/>
        </w:rPr>
      </w:pPr>
      <w:r w:rsidRPr="00E11770">
        <w:rPr>
          <w:sz w:val="20"/>
          <w:szCs w:val="20"/>
        </w:rPr>
        <w:t xml:space="preserve">Lincoln JR, </w:t>
      </w:r>
      <w:proofErr w:type="spellStart"/>
      <w:r w:rsidRPr="00E11770">
        <w:rPr>
          <w:sz w:val="20"/>
          <w:szCs w:val="20"/>
        </w:rPr>
        <w:t>Gerlach</w:t>
      </w:r>
      <w:proofErr w:type="spellEnd"/>
      <w:r w:rsidRPr="00E11770">
        <w:rPr>
          <w:sz w:val="20"/>
          <w:szCs w:val="20"/>
        </w:rPr>
        <w:t xml:space="preserve"> ML. Japan's Network Economy: Structure, Persistence, and Change. Cambridge University Press, 2004.</w:t>
      </w:r>
    </w:p>
    <w:p w:rsidR="00E11770" w:rsidRDefault="00E11770" w:rsidP="00E11770">
      <w:pPr>
        <w:ind w:left="720"/>
        <w:jc w:val="both"/>
        <w:rPr>
          <w:sz w:val="20"/>
          <w:szCs w:val="20"/>
        </w:rPr>
      </w:pPr>
    </w:p>
    <w:p w:rsidR="00D11828" w:rsidRDefault="00EC025E">
      <w:pPr>
        <w:jc w:val="both"/>
        <w:rPr>
          <w:sz w:val="20"/>
          <w:szCs w:val="20"/>
        </w:rPr>
      </w:pPr>
      <w:r>
        <w:rPr>
          <w:sz w:val="20"/>
          <w:szCs w:val="20"/>
        </w:rPr>
        <w:t xml:space="preserve"> </w:t>
      </w:r>
    </w:p>
    <w:sectPr w:rsidR="00D11828" w:rsidSect="004F6697">
      <w:headerReference w:type="first" r:id="rId11"/>
      <w:pgSz w:w="11906" w:h="16838" w:code="9"/>
      <w:pgMar w:top="1440" w:right="1800" w:bottom="1440" w:left="1800" w:header="1080" w:footer="10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9A9" w:rsidRDefault="00A409A9">
      <w:r>
        <w:separator/>
      </w:r>
    </w:p>
  </w:endnote>
  <w:endnote w:type="continuationSeparator" w:id="0">
    <w:p w:rsidR="00A409A9" w:rsidRDefault="00A4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9A9" w:rsidRDefault="00A409A9">
      <w:r>
        <w:separator/>
      </w:r>
    </w:p>
  </w:footnote>
  <w:footnote w:type="continuationSeparator" w:id="0">
    <w:p w:rsidR="00A409A9" w:rsidRDefault="00A4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28" w:rsidRPr="0065001E" w:rsidRDefault="00EC025E">
    <w:pPr>
      <w:rPr>
        <w:sz w:val="20"/>
        <w:szCs w:val="20"/>
        <w:lang w:eastAsia="zh-TW"/>
      </w:rPr>
    </w:pPr>
    <w:r>
      <w:rPr>
        <w:i/>
        <w:sz w:val="20"/>
        <w:szCs w:val="20"/>
      </w:rPr>
      <w:t>Proceedings of</w:t>
    </w:r>
    <w:r w:rsidR="0065001E">
      <w:rPr>
        <w:i/>
        <w:sz w:val="20"/>
        <w:szCs w:val="20"/>
      </w:rPr>
      <w:t xml:space="preserve"> the 2018 IISE </w:t>
    </w:r>
    <w:r w:rsidR="0065001E">
      <w:rPr>
        <w:rFonts w:hint="eastAsia"/>
        <w:i/>
        <w:sz w:val="20"/>
        <w:szCs w:val="20"/>
        <w:lang w:eastAsia="zh-TW"/>
      </w:rPr>
      <w:t>A</w:t>
    </w:r>
    <w:r w:rsidR="0065001E">
      <w:rPr>
        <w:i/>
        <w:sz w:val="20"/>
        <w:szCs w:val="20"/>
        <w:lang w:eastAsia="zh-TW"/>
      </w:rPr>
      <w:t>sian Conference</w:t>
    </w:r>
  </w:p>
  <w:p w:rsidR="00D11828" w:rsidRDefault="00D11828">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21D"/>
    <w:multiLevelType w:val="multilevel"/>
    <w:tmpl w:val="4330E92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9A36B6"/>
    <w:multiLevelType w:val="multilevel"/>
    <w:tmpl w:val="319C7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57C240D"/>
    <w:multiLevelType w:val="multilevel"/>
    <w:tmpl w:val="319C78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C922A6"/>
    <w:multiLevelType w:val="multilevel"/>
    <w:tmpl w:val="D3C6D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D77777"/>
    <w:multiLevelType w:val="multilevel"/>
    <w:tmpl w:val="D5BABB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334148C"/>
    <w:multiLevelType w:val="multilevel"/>
    <w:tmpl w:val="07EAD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6810C7D"/>
    <w:multiLevelType w:val="multilevel"/>
    <w:tmpl w:val="8140E46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28"/>
    <w:rsid w:val="00367A90"/>
    <w:rsid w:val="003A5E02"/>
    <w:rsid w:val="004F6697"/>
    <w:rsid w:val="005B1AA9"/>
    <w:rsid w:val="0065001E"/>
    <w:rsid w:val="00696D2E"/>
    <w:rsid w:val="00810C35"/>
    <w:rsid w:val="00976351"/>
    <w:rsid w:val="00A409A9"/>
    <w:rsid w:val="00A73A67"/>
    <w:rsid w:val="00C97D72"/>
    <w:rsid w:val="00CE6E4E"/>
    <w:rsid w:val="00D009F3"/>
    <w:rsid w:val="00D11828"/>
    <w:rsid w:val="00DC28C5"/>
    <w:rsid w:val="00E11770"/>
    <w:rsid w:val="00E95320"/>
    <w:rsid w:val="00EC025E"/>
    <w:rsid w:val="00F537FD"/>
    <w:rsid w:val="00FC3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9E184-B729-4CAF-8A62-7920D4D8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outlineLvl w:val="1"/>
    </w:pPr>
    <w:rPr>
      <w:rFonts w:ascii="Century Gothic" w:eastAsia="Century Gothic" w:hAnsi="Century Gothic" w:cs="Century Gothic"/>
      <w:b/>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widowControl w:val="0"/>
      <w:spacing w:line="360" w:lineRule="auto"/>
      <w:jc w:val="center"/>
    </w:pPr>
  </w:style>
  <w:style w:type="table" w:customStyle="1" w:styleId="a5">
    <w:basedOn w:val="a1"/>
    <w:tblPr>
      <w:tblStyleRowBandSize w:val="1"/>
      <w:tblStyleColBandSize w:val="1"/>
    </w:tblPr>
  </w:style>
  <w:style w:type="paragraph" w:styleId="a6">
    <w:name w:val="header"/>
    <w:basedOn w:val="a"/>
    <w:link w:val="a7"/>
    <w:uiPriority w:val="99"/>
    <w:unhideWhenUsed/>
    <w:rsid w:val="0065001E"/>
    <w:pPr>
      <w:tabs>
        <w:tab w:val="center" w:pos="4153"/>
        <w:tab w:val="right" w:pos="8306"/>
      </w:tabs>
      <w:snapToGrid w:val="0"/>
    </w:pPr>
    <w:rPr>
      <w:sz w:val="20"/>
      <w:szCs w:val="20"/>
    </w:rPr>
  </w:style>
  <w:style w:type="character" w:customStyle="1" w:styleId="a7">
    <w:name w:val="頁首 字元"/>
    <w:basedOn w:val="a0"/>
    <w:link w:val="a6"/>
    <w:uiPriority w:val="99"/>
    <w:rsid w:val="0065001E"/>
    <w:rPr>
      <w:sz w:val="20"/>
      <w:szCs w:val="20"/>
    </w:rPr>
  </w:style>
  <w:style w:type="paragraph" w:styleId="a8">
    <w:name w:val="footer"/>
    <w:basedOn w:val="a"/>
    <w:link w:val="a9"/>
    <w:uiPriority w:val="99"/>
    <w:unhideWhenUsed/>
    <w:rsid w:val="0065001E"/>
    <w:pPr>
      <w:tabs>
        <w:tab w:val="center" w:pos="4153"/>
        <w:tab w:val="right" w:pos="8306"/>
      </w:tabs>
      <w:snapToGrid w:val="0"/>
    </w:pPr>
    <w:rPr>
      <w:sz w:val="20"/>
      <w:szCs w:val="20"/>
    </w:rPr>
  </w:style>
  <w:style w:type="character" w:customStyle="1" w:styleId="a9">
    <w:name w:val="頁尾 字元"/>
    <w:basedOn w:val="a0"/>
    <w:link w:val="a8"/>
    <w:uiPriority w:val="99"/>
    <w:rsid w:val="0065001E"/>
    <w:rPr>
      <w:sz w:val="20"/>
      <w:szCs w:val="20"/>
    </w:rPr>
  </w:style>
  <w:style w:type="character" w:styleId="aa">
    <w:name w:val="Hyperlink"/>
    <w:rsid w:val="0065001E"/>
    <w:rPr>
      <w:color w:val="0000FF"/>
      <w:u w:val="single"/>
    </w:rPr>
  </w:style>
  <w:style w:type="character" w:styleId="ab">
    <w:name w:val="FollowedHyperlink"/>
    <w:basedOn w:val="a0"/>
    <w:uiPriority w:val="99"/>
    <w:semiHidden/>
    <w:unhideWhenUsed/>
    <w:rsid w:val="00696D2E"/>
    <w:rPr>
      <w:color w:val="800080" w:themeColor="followedHyperlink"/>
      <w:u w:val="single"/>
    </w:rPr>
  </w:style>
  <w:style w:type="paragraph" w:customStyle="1" w:styleId="EndNoteBibliography">
    <w:name w:val="EndNote Bibliography"/>
    <w:basedOn w:val="a"/>
    <w:link w:val="EndNoteBibliography0"/>
    <w:rsid w:val="00E11770"/>
    <w:pPr>
      <w:widowControl w:val="0"/>
      <w:pBdr>
        <w:top w:val="none" w:sz="0" w:space="0" w:color="auto"/>
        <w:left w:val="none" w:sz="0" w:space="0" w:color="auto"/>
        <w:bottom w:val="none" w:sz="0" w:space="0" w:color="auto"/>
        <w:right w:val="none" w:sz="0" w:space="0" w:color="auto"/>
        <w:between w:val="none" w:sz="0" w:space="0" w:color="auto"/>
      </w:pBdr>
    </w:pPr>
    <w:rPr>
      <w:rFonts w:ascii="Calibri" w:hAnsi="Calibri" w:cstheme="minorBidi"/>
      <w:noProof/>
      <w:color w:val="auto"/>
      <w:kern w:val="2"/>
      <w:szCs w:val="22"/>
      <w:lang w:eastAsia="zh-TW"/>
    </w:rPr>
  </w:style>
  <w:style w:type="character" w:customStyle="1" w:styleId="EndNoteBibliography0">
    <w:name w:val="EndNote Bibliography 字元"/>
    <w:basedOn w:val="a0"/>
    <w:link w:val="EndNoteBibliography"/>
    <w:rsid w:val="00E11770"/>
    <w:rPr>
      <w:rFonts w:ascii="Calibri" w:hAnsi="Calibri" w:cstheme="minorBidi"/>
      <w:noProof/>
      <w:color w:val="auto"/>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ason@ust.h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ndnote.com/styles/IIE%20Transactions.en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Gibbs</dc:creator>
  <cp:lastModifiedBy>huangcy</cp:lastModifiedBy>
  <cp:revision>10</cp:revision>
  <dcterms:created xsi:type="dcterms:W3CDTF">2018-01-29T15:37:00Z</dcterms:created>
  <dcterms:modified xsi:type="dcterms:W3CDTF">2018-01-30T08:35:00Z</dcterms:modified>
</cp:coreProperties>
</file>